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C3E6" w14:textId="573AC905" w:rsidR="0064710A" w:rsidRPr="00E41521" w:rsidRDefault="0064710A" w:rsidP="0064710A">
      <w:pPr>
        <w:pStyle w:val="Heading1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Business Office</w:t>
      </w:r>
      <w:r w:rsidRPr="00E41521">
        <w:rPr>
          <w:b/>
          <w:color w:val="auto"/>
          <w:sz w:val="56"/>
          <w:szCs w:val="56"/>
        </w:rPr>
        <w:t xml:space="preserve"> Content Summary</w:t>
      </w:r>
    </w:p>
    <w:p w14:paraId="28B82C96" w14:textId="77777777" w:rsidR="0064710A" w:rsidRDefault="0064710A" w:rsidP="0064710A">
      <w:r>
        <w:br/>
      </w:r>
    </w:p>
    <w:p w14:paraId="3C934BD6" w14:textId="77777777" w:rsidR="0064710A" w:rsidRDefault="0064710A" w:rsidP="0064710A">
      <w:r>
        <w:t>With membership, you’ll get access to the following types of content:</w:t>
      </w:r>
    </w:p>
    <w:p w14:paraId="79D1264F" w14:textId="77777777" w:rsidR="0064710A" w:rsidRDefault="0064710A" w:rsidP="0064710A"/>
    <w:p w14:paraId="67B78F2C" w14:textId="77777777" w:rsidR="0064710A" w:rsidRDefault="0064710A" w:rsidP="0064710A">
      <w:pPr>
        <w:pStyle w:val="Heading1"/>
      </w:pPr>
      <w:r>
        <w:t>Live &amp; Recorded Webcasts</w:t>
      </w:r>
    </w:p>
    <w:p w14:paraId="45D07B33" w14:textId="6ABAE624" w:rsidR="0064710A" w:rsidRDefault="0064710A" w:rsidP="0064710A">
      <w:r w:rsidRPr="00100775">
        <w:rPr>
          <w:b/>
        </w:rPr>
        <w:t>Average time to impact: 60 minutes</w:t>
      </w:r>
      <w:r>
        <w:br/>
        <w:t>Leadership webcasts, whether live or recorded, are always available to our leadership members for free. You’ll always get access to presentation materials an</w:t>
      </w:r>
      <w:r w:rsidR="0006132F">
        <w:t>d any supplemental resources.</w:t>
      </w:r>
      <w:r w:rsidR="0006132F">
        <w:br/>
      </w:r>
      <w:r>
        <w:br/>
      </w:r>
    </w:p>
    <w:p w14:paraId="6A13378E" w14:textId="77777777" w:rsidR="0064710A" w:rsidRDefault="0064710A" w:rsidP="0064710A">
      <w:r w:rsidRPr="00F82558">
        <w:rPr>
          <w:rStyle w:val="Heading1Char"/>
        </w:rPr>
        <w:t>Articles &amp; Reports</w:t>
      </w:r>
    </w:p>
    <w:p w14:paraId="7E472F3A" w14:textId="77777777" w:rsidR="0064710A" w:rsidRPr="00100775" w:rsidRDefault="0064710A" w:rsidP="0064710A">
      <w:pPr>
        <w:rPr>
          <w:b/>
        </w:rPr>
      </w:pPr>
      <w:r w:rsidRPr="00100775">
        <w:rPr>
          <w:b/>
        </w:rPr>
        <w:t>Average time to impact: 1</w:t>
      </w:r>
      <w:r>
        <w:rPr>
          <w:b/>
        </w:rPr>
        <w:t>0</w:t>
      </w:r>
      <w:r w:rsidRPr="00100775">
        <w:rPr>
          <w:b/>
        </w:rPr>
        <w:t xml:space="preserve"> minutes</w:t>
      </w:r>
    </w:p>
    <w:p w14:paraId="0BEBD2D0" w14:textId="77777777" w:rsidR="0064710A" w:rsidRDefault="0064710A" w:rsidP="0064710A">
      <w:r>
        <w:t>These short pieces are written in collaboration with industry experts.</w:t>
      </w:r>
    </w:p>
    <w:p w14:paraId="71032A16" w14:textId="77777777" w:rsidR="0064710A" w:rsidRDefault="0064710A" w:rsidP="0064710A"/>
    <w:p w14:paraId="2172747F" w14:textId="75E80EB1" w:rsidR="00ED58F6" w:rsidRDefault="00ED58F6" w:rsidP="00ED58F6"/>
    <w:p w14:paraId="232CA4B9" w14:textId="0BDD1110" w:rsidR="0064710A" w:rsidRDefault="0064710A" w:rsidP="0064710A">
      <w:r>
        <w:br/>
      </w:r>
    </w:p>
    <w:p w14:paraId="4EEDB8E5" w14:textId="30D05AFF" w:rsidR="00262E5A" w:rsidRDefault="0064710A" w:rsidP="00262E5A">
      <w:r>
        <w:br w:type="page"/>
      </w:r>
    </w:p>
    <w:p w14:paraId="7FEB0605" w14:textId="3DFAF995" w:rsidR="00262E5A" w:rsidRDefault="00262E5A" w:rsidP="002D5F58">
      <w:pPr>
        <w:pStyle w:val="Heading1"/>
        <w:ind w:left="-720"/>
      </w:pPr>
      <w:r>
        <w:lastRenderedPageBreak/>
        <w:t>Facilities</w:t>
      </w:r>
    </w:p>
    <w:p w14:paraId="18192EA2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Collecting User Data to Improve Your Learning Commons</w:t>
      </w:r>
    </w:p>
    <w:p w14:paraId="191ECC34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Deferred Maintenance: Reducing Your Backlog</w:t>
      </w:r>
    </w:p>
    <w:p w14:paraId="4D8CA814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Developing and Maintaining a Strategic Space Database</w:t>
      </w:r>
    </w:p>
    <w:p w14:paraId="2818E228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Improving Capital Project Prioritization at Your Institution</w:t>
      </w:r>
    </w:p>
    <w:p w14:paraId="5DA8D8AB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Integrated Planning Process and Tools for a Flexible Learning Space Initiative</w:t>
      </w:r>
    </w:p>
    <w:p w14:paraId="318D048B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Key Considerations for Designing Student-Focused Innovation Spaces</w:t>
      </w:r>
    </w:p>
    <w:p w14:paraId="09F41BF8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Making More Informed Space Decisions from Your Existing Reports and Data</w:t>
      </w:r>
    </w:p>
    <w:p w14:paraId="74E1B9E7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Making the Business Case for Active Learning Spaces</w:t>
      </w:r>
    </w:p>
    <w:p w14:paraId="12A5D7B2" w14:textId="77777777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Meeting Campus Growth Needs by Leasing Off-Campus Space from Private Partners</w:t>
      </w:r>
    </w:p>
    <w:p w14:paraId="7F50760B" w14:textId="0FCEE405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Planning a Teaching and Learning Space for Virtual and Augmented Reality</w:t>
      </w:r>
    </w:p>
    <w:p w14:paraId="0F0E51DC" w14:textId="685F797A" w:rsidR="009D74EC" w:rsidRDefault="009D74EC" w:rsidP="00BE3F58">
      <w:pPr>
        <w:pStyle w:val="ListParagraph"/>
        <w:numPr>
          <w:ilvl w:val="0"/>
          <w:numId w:val="1"/>
        </w:numPr>
        <w:ind w:left="0"/>
      </w:pPr>
      <w:r>
        <w:t>Preparing for Public/Private Partnership Negotiations: What to Expect from the Developer</w:t>
      </w:r>
    </w:p>
    <w:p w14:paraId="6045AE5B" w14:textId="31C419BF" w:rsidR="00262E5A" w:rsidRDefault="00262E5A" w:rsidP="00BE3F58">
      <w:pPr>
        <w:pStyle w:val="ListParagraph"/>
        <w:numPr>
          <w:ilvl w:val="0"/>
          <w:numId w:val="1"/>
        </w:numPr>
        <w:ind w:left="0"/>
      </w:pPr>
      <w:r>
        <w:t>Strategies for Gaining Buy-In Around Redesigning Faculty Office Space</w:t>
      </w:r>
    </w:p>
    <w:p w14:paraId="4B1C7D11" w14:textId="76EF56C0" w:rsidR="009D74EC" w:rsidRDefault="009D74EC" w:rsidP="00BE3F58">
      <w:pPr>
        <w:pStyle w:val="ListParagraph"/>
        <w:numPr>
          <w:ilvl w:val="0"/>
          <w:numId w:val="1"/>
        </w:numPr>
        <w:ind w:left="0"/>
      </w:pPr>
      <w:r>
        <w:t>What is Space Flexibility? How Do You Balance It with Efficiency?</w:t>
      </w:r>
    </w:p>
    <w:p w14:paraId="3EA978F9" w14:textId="2D1BFF1C" w:rsidR="00262E5A" w:rsidRDefault="00262E5A" w:rsidP="002D5F58">
      <w:pPr>
        <w:pStyle w:val="Heading1"/>
        <w:ind w:left="-720"/>
      </w:pPr>
      <w:r>
        <w:t>Finance and Budgeting</w:t>
      </w:r>
    </w:p>
    <w:p w14:paraId="31EBC331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The $10,000-a-Year Bachelor's Degree That Works</w:t>
      </w:r>
    </w:p>
    <w:p w14:paraId="3CABF502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Academic and Financial Partnerships: Creating a Comprehensive Engagement Plan for Budget Implementation</w:t>
      </w:r>
    </w:p>
    <w:p w14:paraId="2BE32F23" w14:textId="16512F9A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Accurately Calculate and Interpret the CFI</w:t>
      </w:r>
    </w:p>
    <w:p w14:paraId="439BEB0E" w14:textId="2E591894" w:rsidR="009D74EC" w:rsidRDefault="009D74EC" w:rsidP="00BE3F58">
      <w:pPr>
        <w:pStyle w:val="ListParagraph"/>
        <w:numPr>
          <w:ilvl w:val="0"/>
          <w:numId w:val="2"/>
        </w:numPr>
        <w:ind w:left="0"/>
      </w:pPr>
      <w:r>
        <w:t>Activity Based Costing: What’s the Return on it?</w:t>
      </w:r>
    </w:p>
    <w:p w14:paraId="45940A4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Building a More Strategic Budget for Your Academic Department</w:t>
      </w:r>
    </w:p>
    <w:p w14:paraId="5B5B71AD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Centralizing the Scholarship Administration Process</w:t>
      </w:r>
    </w:p>
    <w:p w14:paraId="5E24EDE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Compiling a Market Analysis for Academic Programs (Session 1 of 2)</w:t>
      </w:r>
    </w:p>
    <w:p w14:paraId="49C7EB58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Connecting Planning and Budgeting in Student Affairs</w:t>
      </w:r>
    </w:p>
    <w:p w14:paraId="159C77CC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Creating Financial Expectations in the Housing RFP Process</w:t>
      </w:r>
    </w:p>
    <w:p w14:paraId="2EAC8502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Decision-Making Possibilities with Activity-Based Costing</w:t>
      </w:r>
    </w:p>
    <w:p w14:paraId="2B77648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Engaging Your Campus Community in the Budgeting Process</w:t>
      </w:r>
    </w:p>
    <w:p w14:paraId="1E58A833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Enterprise Risk Management: Why Now?</w:t>
      </w:r>
    </w:p>
    <w:p w14:paraId="4A396A7E" w14:textId="19E08521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Establishing a Cash Flow Forecasting Model for Your Institution</w:t>
      </w:r>
    </w:p>
    <w:p w14:paraId="555FFBB5" w14:textId="15521D76" w:rsidR="009D74EC" w:rsidRDefault="009D74EC" w:rsidP="00BE3F58">
      <w:pPr>
        <w:pStyle w:val="ListParagraph"/>
        <w:numPr>
          <w:ilvl w:val="0"/>
          <w:numId w:val="2"/>
        </w:numPr>
        <w:ind w:left="0"/>
      </w:pPr>
      <w:r>
        <w:t>Financial Modeling for New Academic Programs</w:t>
      </w:r>
    </w:p>
    <w:p w14:paraId="17B745EF" w14:textId="2B10C34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Financial Ratios: Strategic Assessment and Communication of Your Institutional Health</w:t>
      </w:r>
    </w:p>
    <w:p w14:paraId="3D2048A5" w14:textId="03D1C134" w:rsidR="009D74EC" w:rsidRDefault="009D74EC" w:rsidP="00BE3F58">
      <w:pPr>
        <w:pStyle w:val="ListParagraph"/>
        <w:numPr>
          <w:ilvl w:val="0"/>
          <w:numId w:val="2"/>
        </w:numPr>
        <w:ind w:left="0"/>
      </w:pPr>
      <w:r>
        <w:t>How Activity Based Costing Analysis Can Be Used to Test-Drive Future Scenarios</w:t>
      </w:r>
    </w:p>
    <w:p w14:paraId="20EDA58F" w14:textId="0F743438" w:rsidR="009D74EC" w:rsidRDefault="009D74EC" w:rsidP="00BE3F58">
      <w:pPr>
        <w:pStyle w:val="ListParagraph"/>
        <w:numPr>
          <w:ilvl w:val="0"/>
          <w:numId w:val="2"/>
        </w:numPr>
        <w:ind w:left="0"/>
      </w:pPr>
      <w:r>
        <w:t>How One Institution’s New Approach to Budgeting is Creating a Culture of High Trust</w:t>
      </w:r>
    </w:p>
    <w:p w14:paraId="6D02935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Key Decisions for Decentralized Budgeting Implementation</w:t>
      </w:r>
    </w:p>
    <w:p w14:paraId="16DBC003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Keys to Approaching Tuition Resetting at Your Institution</w:t>
      </w:r>
    </w:p>
    <w:p w14:paraId="0761DE2D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Leveraging Institutional Aid to Maximize Net Tuition Revenue</w:t>
      </w:r>
    </w:p>
    <w:p w14:paraId="509528D5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Measuring Academic Program Cost and Demand</w:t>
      </w:r>
    </w:p>
    <w:p w14:paraId="054C4DF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Meeting Campus Growth Needs by Leasing Off-Campus Space from Private Partners</w:t>
      </w:r>
    </w:p>
    <w:p w14:paraId="5B57EDB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Moving to a Responsibility Center Management Budgeting Model</w:t>
      </w:r>
    </w:p>
    <w:p w14:paraId="5747A8C0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lastRenderedPageBreak/>
        <w:t>Preparing for a University-Wide Activity-Based Costing Model</w:t>
      </w:r>
    </w:p>
    <w:p w14:paraId="73219FB8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Preparing for Tax Reform in Higher Education</w:t>
      </w:r>
    </w:p>
    <w:p w14:paraId="6BF94B1B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Preparing Your Institution for Shared Services Implementation</w:t>
      </w:r>
    </w:p>
    <w:p w14:paraId="55C32EFD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Shared Services: Assessing Your Readiness</w:t>
      </w:r>
    </w:p>
    <w:p w14:paraId="3BEE7434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Strategic Enrollment Goals: Combining Internal and External Factors</w:t>
      </w:r>
    </w:p>
    <w:p w14:paraId="45ECD5FE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Strategic Sourcing Implementation</w:t>
      </w:r>
    </w:p>
    <w:p w14:paraId="29DA48B7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Strategic Sourcing Infrastructure</w:t>
      </w:r>
    </w:p>
    <w:p w14:paraId="36246D59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Structuring Successful Outsourcing Contracts for Campus Services</w:t>
      </w:r>
    </w:p>
    <w:p w14:paraId="2E83B325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Trends in Higher Education Performance-Based Funding</w:t>
      </w:r>
    </w:p>
    <w:p w14:paraId="0D7C54AE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Tuition Setting: Maximizing Net Tuition Revenue</w:t>
      </w:r>
    </w:p>
    <w:p w14:paraId="75C96090" w14:textId="77777777" w:rsidR="009B0563" w:rsidRDefault="009B0563" w:rsidP="00BE3F58">
      <w:pPr>
        <w:pStyle w:val="ListParagraph"/>
        <w:numPr>
          <w:ilvl w:val="0"/>
          <w:numId w:val="2"/>
        </w:numPr>
        <w:ind w:left="0"/>
      </w:pPr>
      <w:r>
        <w:t>Understanding Enrollment Management Challenges: A Program for Finance Officers</w:t>
      </w:r>
    </w:p>
    <w:p w14:paraId="2616AC04" w14:textId="498A6DD9" w:rsidR="00262E5A" w:rsidRDefault="009B0563" w:rsidP="00BE3F58">
      <w:pPr>
        <w:pStyle w:val="ListParagraph"/>
        <w:numPr>
          <w:ilvl w:val="0"/>
          <w:numId w:val="2"/>
        </w:numPr>
        <w:ind w:left="0"/>
      </w:pPr>
      <w:r>
        <w:t>Using Market Analysis Data for New and Existing Academic Programs (Session 2 of 2)</w:t>
      </w:r>
    </w:p>
    <w:p w14:paraId="6415A19A" w14:textId="1E757953" w:rsidR="00262E5A" w:rsidRDefault="00262E5A" w:rsidP="002D5F58">
      <w:pPr>
        <w:pStyle w:val="Heading1"/>
        <w:ind w:left="-720"/>
      </w:pPr>
      <w:r>
        <w:t>Human Resources and Compliance</w:t>
      </w:r>
    </w:p>
    <w:p w14:paraId="12BAE221" w14:textId="7BA76327" w:rsidR="00DB4725" w:rsidRDefault="00DB4725" w:rsidP="00BE3F58">
      <w:pPr>
        <w:pStyle w:val="ListParagraph"/>
        <w:numPr>
          <w:ilvl w:val="0"/>
          <w:numId w:val="3"/>
        </w:numPr>
        <w:ind w:left="0"/>
      </w:pPr>
      <w:r w:rsidRPr="00DB4725">
        <w:t>Build the Capacity of Your Institution’s Leaders</w:t>
      </w:r>
    </w:p>
    <w:p w14:paraId="2A407B60" w14:textId="3586E2E3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Carrying Out Effective Private Business Use Calculation</w:t>
      </w:r>
    </w:p>
    <w:p w14:paraId="0856C055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Conducting Internal I</w:t>
      </w:r>
      <w:bookmarkStart w:id="0" w:name="_GoBack"/>
      <w:bookmarkEnd w:id="0"/>
      <w:r>
        <w:t>nvestigations in Higher Education</w:t>
      </w:r>
    </w:p>
    <w:p w14:paraId="031D384D" w14:textId="519D9B5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Conducting Trauma-Informed Investigations for Sexual Misconduct Cases</w:t>
      </w:r>
    </w:p>
    <w:p w14:paraId="13059706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Developing a Risk Management Mindset as a Front-Line Student Services Professional</w:t>
      </w:r>
    </w:p>
    <w:p w14:paraId="587F8BBC" w14:textId="74E471DD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Developing an Assistance Animal Compliance Policy</w:t>
      </w:r>
    </w:p>
    <w:p w14:paraId="7AF11767" w14:textId="5BDA0044" w:rsidR="008D3B1B" w:rsidRDefault="008D3B1B" w:rsidP="00BE3F58">
      <w:pPr>
        <w:pStyle w:val="ListParagraph"/>
        <w:numPr>
          <w:ilvl w:val="0"/>
          <w:numId w:val="3"/>
        </w:numPr>
        <w:ind w:left="0"/>
      </w:pPr>
      <w:r w:rsidRPr="008D3B1B">
        <w:t>Engage All Employees in Compliance and Ethics by Making It Interactive and Accessible</w:t>
      </w:r>
    </w:p>
    <w:p w14:paraId="302091E0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Enterprise Risk Management: Why Now?</w:t>
      </w:r>
    </w:p>
    <w:p w14:paraId="6C890B66" w14:textId="5DA0DB78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Essentials of Study Abroad Risk Management</w:t>
      </w:r>
    </w:p>
    <w:p w14:paraId="7F10657A" w14:textId="33EDCEE8" w:rsidR="009D74EC" w:rsidRDefault="009D74EC" w:rsidP="00BE3F58">
      <w:pPr>
        <w:pStyle w:val="ListParagraph"/>
        <w:numPr>
          <w:ilvl w:val="0"/>
          <w:numId w:val="3"/>
        </w:numPr>
        <w:ind w:left="0"/>
      </w:pPr>
      <w:r>
        <w:t xml:space="preserve">Habits of Highly Effective Higher-Ed Professionals </w:t>
      </w:r>
    </w:p>
    <w:p w14:paraId="4527728C" w14:textId="26446BC7" w:rsidR="009D74EC" w:rsidRDefault="009D74EC" w:rsidP="00BE3F58">
      <w:pPr>
        <w:pStyle w:val="ListParagraph"/>
        <w:numPr>
          <w:ilvl w:val="0"/>
          <w:numId w:val="3"/>
        </w:numPr>
        <w:ind w:left="0"/>
      </w:pPr>
      <w:r>
        <w:t xml:space="preserve">Habits of Highly Effective Higher-Ed Professionals, Part 2: Finding Your Purpose </w:t>
      </w:r>
    </w:p>
    <w:p w14:paraId="29E777CD" w14:textId="67ED68F6" w:rsidR="009D74EC" w:rsidRDefault="009D74EC" w:rsidP="00BE3F58">
      <w:pPr>
        <w:pStyle w:val="ListParagraph"/>
        <w:numPr>
          <w:ilvl w:val="0"/>
          <w:numId w:val="3"/>
        </w:numPr>
        <w:ind w:left="0"/>
      </w:pPr>
      <w:r>
        <w:t>Hiring and Onboarding Diverse Talent: Where are the Gaps?</w:t>
      </w:r>
    </w:p>
    <w:p w14:paraId="60873DC4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Incentivizing Faculty and Staff Retirement</w:t>
      </w:r>
    </w:p>
    <w:p w14:paraId="3F596FD4" w14:textId="4BCDAF31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Internship Programs: Limiting Potential Liabilities</w:t>
      </w:r>
    </w:p>
    <w:p w14:paraId="2CC6C0BF" w14:textId="55A69A05" w:rsidR="00DE3800" w:rsidRDefault="00DE3800" w:rsidP="00BE3F58">
      <w:pPr>
        <w:pStyle w:val="ListParagraph"/>
        <w:numPr>
          <w:ilvl w:val="0"/>
          <w:numId w:val="3"/>
        </w:numPr>
        <w:ind w:left="0"/>
      </w:pPr>
      <w:r w:rsidRPr="00DE3800">
        <w:t>Key Considerations for Anticipated Changes to Title IX</w:t>
      </w:r>
    </w:p>
    <w:p w14:paraId="6523F9DF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Managing the Prerequisite Components of Private Business Use Calculation</w:t>
      </w:r>
    </w:p>
    <w:p w14:paraId="3035C265" w14:textId="35ED0F05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Negotiating Successful Adjunct Union Collective Bargaining Agreements</w:t>
      </w:r>
    </w:p>
    <w:p w14:paraId="6265F547" w14:textId="19B8A09A" w:rsidR="00904200" w:rsidRDefault="00904200" w:rsidP="00BE3F58">
      <w:pPr>
        <w:pStyle w:val="ListParagraph"/>
        <w:numPr>
          <w:ilvl w:val="0"/>
          <w:numId w:val="3"/>
        </w:numPr>
        <w:ind w:left="0"/>
      </w:pPr>
      <w:r w:rsidRPr="00904200">
        <w:t>New Federal Title IX Regulations: How the Investigative Process Is Changing</w:t>
      </w:r>
    </w:p>
    <w:p w14:paraId="196F6320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Overcoming Bias in Your Title IX Investigative Process</w:t>
      </w:r>
    </w:p>
    <w:p w14:paraId="613A9292" w14:textId="1FF28758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Preventing Faculty Discrimination with Case Law and Simple Statistics</w:t>
      </w:r>
    </w:p>
    <w:p w14:paraId="363EF770" w14:textId="35579143" w:rsidR="003B4A76" w:rsidRDefault="003B4A76" w:rsidP="00BE3F58">
      <w:pPr>
        <w:pStyle w:val="ListParagraph"/>
        <w:numPr>
          <w:ilvl w:val="0"/>
          <w:numId w:val="3"/>
        </w:numPr>
        <w:ind w:left="0"/>
      </w:pPr>
      <w:r w:rsidRPr="003B4A76">
        <w:t>Rethink Your Presidential Search Process</w:t>
      </w:r>
    </w:p>
    <w:p w14:paraId="1F15E3FA" w14:textId="5103986C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Title IV: Complying with New State Authorization Rules</w:t>
      </w:r>
    </w:p>
    <w:p w14:paraId="11FB505D" w14:textId="2265426A" w:rsidR="00505AAC" w:rsidRDefault="00505AAC" w:rsidP="00BE3F58">
      <w:pPr>
        <w:pStyle w:val="ListParagraph"/>
        <w:numPr>
          <w:ilvl w:val="0"/>
          <w:numId w:val="3"/>
        </w:numPr>
        <w:ind w:left="0"/>
      </w:pPr>
      <w:r w:rsidRPr="00505AAC">
        <w:t>Title IX: Key Considerations for Working with Pregnant and Parenting Students</w:t>
      </w:r>
    </w:p>
    <w:p w14:paraId="25D7A7BE" w14:textId="77777777" w:rsidR="008C3F14" w:rsidRDefault="008C3F14" w:rsidP="00BE3F58">
      <w:pPr>
        <w:pStyle w:val="ListParagraph"/>
        <w:numPr>
          <w:ilvl w:val="0"/>
          <w:numId w:val="3"/>
        </w:numPr>
        <w:ind w:left="0"/>
      </w:pPr>
      <w:r>
        <w:t>Title IX and Study Abroad</w:t>
      </w:r>
    </w:p>
    <w:p w14:paraId="1BBC17A8" w14:textId="5D4AE728" w:rsidR="00262E5A" w:rsidRDefault="008C3F14" w:rsidP="00BE3F58">
      <w:pPr>
        <w:pStyle w:val="ListParagraph"/>
        <w:numPr>
          <w:ilvl w:val="0"/>
          <w:numId w:val="3"/>
        </w:numPr>
        <w:ind w:left="0"/>
      </w:pPr>
      <w:r>
        <w:t>Title IX for Presidents</w:t>
      </w:r>
    </w:p>
    <w:p w14:paraId="663E5FB4" w14:textId="1E1B5A71" w:rsidR="00262E5A" w:rsidRDefault="00262E5A" w:rsidP="002D5F58">
      <w:pPr>
        <w:pStyle w:val="Heading1"/>
        <w:ind w:left="-720"/>
      </w:pPr>
      <w:r>
        <w:lastRenderedPageBreak/>
        <w:t>Information Technology</w:t>
      </w:r>
    </w:p>
    <w:p w14:paraId="4F0C98FF" w14:textId="77777777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The $10,000-a-Year Bachelor's Degree That Works</w:t>
      </w:r>
    </w:p>
    <w:p w14:paraId="315653B7" w14:textId="371E87A9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4 Steps to Ensure Electronic and Information Technology Accessibility</w:t>
      </w:r>
    </w:p>
    <w:p w14:paraId="2947238E" w14:textId="1B3129D8" w:rsidR="00051D79" w:rsidRDefault="00051D79" w:rsidP="00BE3F58">
      <w:pPr>
        <w:pStyle w:val="ListParagraph"/>
        <w:numPr>
          <w:ilvl w:val="0"/>
          <w:numId w:val="4"/>
        </w:numPr>
        <w:ind w:left="0"/>
      </w:pPr>
      <w:r w:rsidRPr="00051D79">
        <w:t>Application of Virtual Reality in Higher Education</w:t>
      </w:r>
    </w:p>
    <w:p w14:paraId="57D66E98" w14:textId="77777777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Building an Institutional Framework for MOOC Programs</w:t>
      </w:r>
    </w:p>
    <w:p w14:paraId="18C0F467" w14:textId="77777777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Managing Mobile Devices: BYOD and Loaner Devices</w:t>
      </w:r>
    </w:p>
    <w:p w14:paraId="3D6CC1A6" w14:textId="77777777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Minimize the Fallout from Cyber Attacks</w:t>
      </w:r>
    </w:p>
    <w:p w14:paraId="104DD9EB" w14:textId="1FE5E903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Planning a Teaching and Learning Space for Virtual and Augmented Reality</w:t>
      </w:r>
    </w:p>
    <w:p w14:paraId="5228E44B" w14:textId="7B7F76D8" w:rsidR="00782490" w:rsidRDefault="00782490" w:rsidP="00BE3F58">
      <w:pPr>
        <w:pStyle w:val="ListParagraph"/>
        <w:numPr>
          <w:ilvl w:val="0"/>
          <w:numId w:val="4"/>
        </w:numPr>
        <w:ind w:left="0"/>
      </w:pPr>
      <w:r w:rsidRPr="00782490">
        <w:t>Practical Data Governance in Higher Education</w:t>
      </w:r>
    </w:p>
    <w:p w14:paraId="15ADD355" w14:textId="77777777" w:rsidR="00DB1C0B" w:rsidRDefault="00DB1C0B" w:rsidP="00BE3F58">
      <w:pPr>
        <w:pStyle w:val="ListParagraph"/>
        <w:numPr>
          <w:ilvl w:val="0"/>
          <w:numId w:val="4"/>
        </w:numPr>
        <w:ind w:left="0"/>
      </w:pPr>
      <w:r>
        <w:t>Selecting a Learning Management System</w:t>
      </w:r>
    </w:p>
    <w:p w14:paraId="1A695BB9" w14:textId="3D6A2459" w:rsidR="00262E5A" w:rsidRDefault="00DB1C0B" w:rsidP="00BE3F58">
      <w:pPr>
        <w:pStyle w:val="ListParagraph"/>
        <w:numPr>
          <w:ilvl w:val="0"/>
          <w:numId w:val="4"/>
        </w:numPr>
        <w:ind w:left="0"/>
      </w:pPr>
      <w:r>
        <w:t>Selecting the Right Software for Your Learning Center Needs</w:t>
      </w:r>
    </w:p>
    <w:p w14:paraId="64104B5F" w14:textId="7DF24DFA" w:rsidR="00262E5A" w:rsidRDefault="00262E5A" w:rsidP="002D5F58">
      <w:pPr>
        <w:pStyle w:val="Heading1"/>
        <w:ind w:left="-720"/>
      </w:pPr>
      <w:r>
        <w:t>Planning and Effectiveness</w:t>
      </w:r>
    </w:p>
    <w:p w14:paraId="236527EC" w14:textId="77777777" w:rsidR="00A76ADA" w:rsidRDefault="00A76ADA" w:rsidP="00BE3F58">
      <w:pPr>
        <w:pStyle w:val="ListParagraph"/>
        <w:numPr>
          <w:ilvl w:val="0"/>
          <w:numId w:val="5"/>
        </w:numPr>
        <w:ind w:left="0"/>
      </w:pPr>
      <w:r>
        <w:t>11 Keys to Implementing Your Strategic Plan</w:t>
      </w:r>
    </w:p>
    <w:p w14:paraId="7AB93B15" w14:textId="0A2044EF" w:rsidR="00A76ADA" w:rsidRDefault="00A76ADA" w:rsidP="00BE3F58">
      <w:pPr>
        <w:pStyle w:val="ListParagraph"/>
        <w:numPr>
          <w:ilvl w:val="0"/>
          <w:numId w:val="5"/>
        </w:numPr>
        <w:ind w:left="0"/>
      </w:pPr>
      <w:r>
        <w:t>Assessing the Quality of Your General Education Program</w:t>
      </w:r>
    </w:p>
    <w:p w14:paraId="2F1C973B" w14:textId="590FA7F9" w:rsidR="00A76ADA" w:rsidRDefault="00FC3CED" w:rsidP="001B4139">
      <w:pPr>
        <w:pStyle w:val="ListParagraph"/>
        <w:numPr>
          <w:ilvl w:val="0"/>
          <w:numId w:val="5"/>
        </w:numPr>
        <w:ind w:left="0"/>
      </w:pPr>
      <w:r w:rsidRPr="00FC3CED">
        <w:t>Collaborating Across Institutions to Increase Online Student Access: A Case Study</w:t>
      </w:r>
    </w:p>
    <w:p w14:paraId="76E27CFC" w14:textId="03F278CD" w:rsidR="00A76ADA" w:rsidRDefault="00A76ADA" w:rsidP="00BE3F58">
      <w:pPr>
        <w:pStyle w:val="ListParagraph"/>
        <w:numPr>
          <w:ilvl w:val="0"/>
          <w:numId w:val="5"/>
        </w:numPr>
        <w:ind w:left="0"/>
      </w:pPr>
      <w:r>
        <w:t>Enterprise Risk Management: Why Now?</w:t>
      </w:r>
    </w:p>
    <w:p w14:paraId="0810F1AB" w14:textId="469D1B53" w:rsidR="009D74EC" w:rsidRDefault="009D74EC" w:rsidP="00BE3F58">
      <w:pPr>
        <w:pStyle w:val="ListParagraph"/>
        <w:numPr>
          <w:ilvl w:val="0"/>
          <w:numId w:val="5"/>
        </w:numPr>
        <w:ind w:left="0"/>
      </w:pPr>
      <w:r>
        <w:t>Financial Modeling for New Academic Programs</w:t>
      </w:r>
    </w:p>
    <w:p w14:paraId="142E237C" w14:textId="5C36340C" w:rsidR="00B253F2" w:rsidRDefault="00B253F2" w:rsidP="00BE3F58">
      <w:pPr>
        <w:pStyle w:val="ListParagraph"/>
        <w:numPr>
          <w:ilvl w:val="0"/>
          <w:numId w:val="5"/>
        </w:numPr>
        <w:ind w:left="0"/>
      </w:pPr>
      <w:r>
        <w:t>How One Institution’s New Approach to Budgeting is Creating a Culture of High Trust</w:t>
      </w:r>
    </w:p>
    <w:p w14:paraId="53A67484" w14:textId="5C9B992B" w:rsidR="00A76ADA" w:rsidRDefault="00EF0B47" w:rsidP="00EF0B47">
      <w:pPr>
        <w:pStyle w:val="ListParagraph"/>
        <w:numPr>
          <w:ilvl w:val="0"/>
          <w:numId w:val="5"/>
        </w:numPr>
        <w:ind w:left="0"/>
      </w:pPr>
      <w:r w:rsidRPr="00EF0B47">
        <w:t xml:space="preserve">Key Questions to Produce Effective Data Visualizations  </w:t>
      </w:r>
    </w:p>
    <w:p w14:paraId="584FF657" w14:textId="25FCCB5E" w:rsidR="007118BC" w:rsidRDefault="007118BC" w:rsidP="00EF0B47">
      <w:pPr>
        <w:pStyle w:val="ListParagraph"/>
        <w:numPr>
          <w:ilvl w:val="0"/>
          <w:numId w:val="5"/>
        </w:numPr>
        <w:ind w:left="0"/>
      </w:pPr>
      <w:r w:rsidRPr="007118BC">
        <w:t>Strategies for Effective and Actionable Academic Program Reviews</w:t>
      </w:r>
      <w:r w:rsidR="00007E05">
        <w:t xml:space="preserve"> – Hamline University</w:t>
      </w:r>
    </w:p>
    <w:p w14:paraId="6E1298F5" w14:textId="12446524" w:rsidR="00007E05" w:rsidRDefault="00007E05" w:rsidP="00007E05">
      <w:pPr>
        <w:pStyle w:val="ListParagraph"/>
        <w:numPr>
          <w:ilvl w:val="0"/>
          <w:numId w:val="5"/>
        </w:numPr>
        <w:ind w:left="0"/>
      </w:pPr>
      <w:r w:rsidRPr="007118BC">
        <w:t>Strategies for Effective and Actionable Academic Program Reviews</w:t>
      </w:r>
      <w:r>
        <w:t xml:space="preserve"> – University of Denver</w:t>
      </w:r>
    </w:p>
    <w:p w14:paraId="64E8D085" w14:textId="236715BA" w:rsidR="00455AFC" w:rsidRDefault="00455AFC" w:rsidP="00007E05">
      <w:pPr>
        <w:pStyle w:val="ListParagraph"/>
        <w:numPr>
          <w:ilvl w:val="0"/>
          <w:numId w:val="5"/>
        </w:numPr>
        <w:ind w:left="0"/>
      </w:pPr>
      <w:r w:rsidRPr="00455AFC">
        <w:t xml:space="preserve">Strengthening and Aligning Academic Programs When Time is of the Essence: </w:t>
      </w:r>
      <w:r>
        <w:br/>
      </w:r>
      <w:r w:rsidRPr="00455AFC">
        <w:t>Session I: Analysis and Decision Making for Academic Program Alignment</w:t>
      </w:r>
    </w:p>
    <w:p w14:paraId="3FA1E57A" w14:textId="44B94940" w:rsidR="00455AFC" w:rsidRDefault="00455AFC" w:rsidP="00007E05">
      <w:pPr>
        <w:pStyle w:val="ListParagraph"/>
        <w:numPr>
          <w:ilvl w:val="0"/>
          <w:numId w:val="5"/>
        </w:numPr>
        <w:ind w:left="0"/>
      </w:pPr>
      <w:r w:rsidRPr="00455AFC">
        <w:t xml:space="preserve">Strengthening and Aligning Academic Programs When Time is of the Essence: </w:t>
      </w:r>
      <w:r>
        <w:br/>
      </w:r>
      <w:r w:rsidRPr="00455AFC">
        <w:t>Session II: Implementation Process for Academic Program Alignment</w:t>
      </w:r>
    </w:p>
    <w:p w14:paraId="4EC27FC2" w14:textId="1FFEDF72" w:rsidR="009D74EC" w:rsidRPr="00A76ADA" w:rsidRDefault="009D74EC" w:rsidP="00EF0B47">
      <w:pPr>
        <w:pStyle w:val="ListParagraph"/>
        <w:numPr>
          <w:ilvl w:val="0"/>
          <w:numId w:val="5"/>
        </w:numPr>
        <w:ind w:left="0"/>
      </w:pPr>
      <w:r>
        <w:t>The Small College Turnaround: Counter-Intuitive Lessons from the Success of Anoka Tech</w:t>
      </w:r>
    </w:p>
    <w:sectPr w:rsidR="009D74EC" w:rsidRPr="00A76ADA" w:rsidSect="00C055CE">
      <w:headerReference w:type="default" r:id="rId7"/>
      <w:footerReference w:type="default" r:id="rId8"/>
      <w:pgSz w:w="12240" w:h="15840" w:code="1"/>
      <w:pgMar w:top="1440" w:right="1260" w:bottom="1440" w:left="144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8BF0" w14:textId="77777777" w:rsidR="00040B64" w:rsidRDefault="00040B64" w:rsidP="00A32FEF">
      <w:r>
        <w:separator/>
      </w:r>
    </w:p>
  </w:endnote>
  <w:endnote w:type="continuationSeparator" w:id="0">
    <w:p w14:paraId="03586FD4" w14:textId="77777777" w:rsidR="00040B64" w:rsidRDefault="00040B64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4BE47" w14:textId="77777777" w:rsidR="00040B64" w:rsidRDefault="00040B64" w:rsidP="00A32FEF">
      <w:r>
        <w:separator/>
      </w:r>
    </w:p>
  </w:footnote>
  <w:footnote w:type="continuationSeparator" w:id="0">
    <w:p w14:paraId="28C0D0B0" w14:textId="77777777" w:rsidR="00040B64" w:rsidRDefault="00040B64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BE3F58">
    <w:pPr>
      <w:pStyle w:val="Header"/>
      <w:ind w:left="-720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45"/>
    <w:multiLevelType w:val="hybridMultilevel"/>
    <w:tmpl w:val="572CA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1D7C"/>
    <w:multiLevelType w:val="hybridMultilevel"/>
    <w:tmpl w:val="B9BA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831C4"/>
    <w:multiLevelType w:val="hybridMultilevel"/>
    <w:tmpl w:val="B002C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06F33"/>
    <w:multiLevelType w:val="hybridMultilevel"/>
    <w:tmpl w:val="A218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204F"/>
    <w:multiLevelType w:val="hybridMultilevel"/>
    <w:tmpl w:val="42E60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07E05"/>
    <w:rsid w:val="00037078"/>
    <w:rsid w:val="00040B64"/>
    <w:rsid w:val="00051D79"/>
    <w:rsid w:val="0006132F"/>
    <w:rsid w:val="000D4931"/>
    <w:rsid w:val="00105DBB"/>
    <w:rsid w:val="00121E62"/>
    <w:rsid w:val="001241E4"/>
    <w:rsid w:val="001B4139"/>
    <w:rsid w:val="00262E5A"/>
    <w:rsid w:val="002D5F58"/>
    <w:rsid w:val="002E423D"/>
    <w:rsid w:val="003A53E1"/>
    <w:rsid w:val="003B4A76"/>
    <w:rsid w:val="00455AFC"/>
    <w:rsid w:val="004B7893"/>
    <w:rsid w:val="004D2632"/>
    <w:rsid w:val="004D2EFE"/>
    <w:rsid w:val="00505AAC"/>
    <w:rsid w:val="005B6C99"/>
    <w:rsid w:val="005D57E3"/>
    <w:rsid w:val="005E611E"/>
    <w:rsid w:val="0064710A"/>
    <w:rsid w:val="006A1F81"/>
    <w:rsid w:val="00707881"/>
    <w:rsid w:val="007118BC"/>
    <w:rsid w:val="0076130C"/>
    <w:rsid w:val="00782490"/>
    <w:rsid w:val="00874589"/>
    <w:rsid w:val="008C3F14"/>
    <w:rsid w:val="008D3B1B"/>
    <w:rsid w:val="00904200"/>
    <w:rsid w:val="009420C2"/>
    <w:rsid w:val="009B0563"/>
    <w:rsid w:val="009D584B"/>
    <w:rsid w:val="009D74EC"/>
    <w:rsid w:val="00A078CF"/>
    <w:rsid w:val="00A32FEF"/>
    <w:rsid w:val="00A3387A"/>
    <w:rsid w:val="00A76ADA"/>
    <w:rsid w:val="00B253F2"/>
    <w:rsid w:val="00B26F2C"/>
    <w:rsid w:val="00B37D56"/>
    <w:rsid w:val="00BE3F58"/>
    <w:rsid w:val="00C055CE"/>
    <w:rsid w:val="00C77839"/>
    <w:rsid w:val="00CA30C3"/>
    <w:rsid w:val="00CC12C9"/>
    <w:rsid w:val="00CF2D28"/>
    <w:rsid w:val="00DB1C0B"/>
    <w:rsid w:val="00DB4725"/>
    <w:rsid w:val="00DE3800"/>
    <w:rsid w:val="00ED58F6"/>
    <w:rsid w:val="00EF0B47"/>
    <w:rsid w:val="00F0445E"/>
    <w:rsid w:val="00F32D91"/>
    <w:rsid w:val="00F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E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paragraph" w:styleId="Title">
    <w:name w:val="Title"/>
    <w:basedOn w:val="Normal"/>
    <w:next w:val="Normal"/>
    <w:link w:val="TitleChar"/>
    <w:uiPriority w:val="10"/>
    <w:qFormat/>
    <w:rsid w:val="00262E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E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62E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E5A"/>
    <w:pPr>
      <w:ind w:left="720"/>
      <w:contextualSpacing/>
    </w:pPr>
  </w:style>
  <w:style w:type="paragraph" w:customStyle="1" w:styleId="NoParagraphStyle">
    <w:name w:val="[No Paragraph Style]"/>
    <w:rsid w:val="0064710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Greta Bell</cp:lastModifiedBy>
  <cp:revision>30</cp:revision>
  <dcterms:created xsi:type="dcterms:W3CDTF">2018-08-17T20:31:00Z</dcterms:created>
  <dcterms:modified xsi:type="dcterms:W3CDTF">2019-08-16T21:51:00Z</dcterms:modified>
</cp:coreProperties>
</file>